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72C1" w14:textId="7B1F7AB9" w:rsidR="005244C9" w:rsidRPr="007B57A3" w:rsidRDefault="00FE6D11" w:rsidP="00FE6D1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B57A3">
        <w:rPr>
          <w:rFonts w:ascii="Arial" w:hAnsi="Arial" w:cs="Arial"/>
          <w:b/>
          <w:bCs/>
          <w:sz w:val="20"/>
          <w:szCs w:val="20"/>
          <w:u w:val="single"/>
        </w:rPr>
        <w:t xml:space="preserve">RINGKASAN INFORMASI PRODUK DAN/ATAU LAYANAN (RIPLAY) VERSI </w:t>
      </w:r>
      <w:r w:rsidR="00ED1EC7">
        <w:rPr>
          <w:rFonts w:ascii="Arial" w:hAnsi="Arial" w:cs="Arial"/>
          <w:b/>
          <w:bCs/>
          <w:sz w:val="20"/>
          <w:szCs w:val="20"/>
          <w:u w:val="single"/>
        </w:rPr>
        <w:t>UMUM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4499" w14:paraId="07FF5294" w14:textId="77777777" w:rsidTr="00A44499">
        <w:tc>
          <w:tcPr>
            <w:tcW w:w="4508" w:type="dxa"/>
          </w:tcPr>
          <w:p w14:paraId="72DD54BD" w14:textId="77777777" w:rsidR="00A44499" w:rsidRDefault="00A44499" w:rsidP="00FE6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proofErr w:type="gramStart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Penerbit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PT 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Perekonomian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Rakyat </w:t>
            </w:r>
          </w:p>
          <w:p w14:paraId="3008D5F7" w14:textId="77777777" w:rsidR="00A44499" w:rsidRDefault="00A44499" w:rsidP="00FE6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Palembang</w:t>
            </w:r>
          </w:p>
        </w:tc>
        <w:tc>
          <w:tcPr>
            <w:tcW w:w="4508" w:type="dxa"/>
          </w:tcPr>
          <w:p w14:paraId="5E052F95" w14:textId="77777777" w:rsidR="00A44499" w:rsidRDefault="00A44499" w:rsidP="00FE6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Jenis </w:t>
            </w:r>
            <w:proofErr w:type="spellStart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Simpanan</w:t>
            </w:r>
            <w:proofErr w:type="spellEnd"/>
          </w:p>
        </w:tc>
      </w:tr>
      <w:tr w:rsidR="00A44499" w14:paraId="1C60E019" w14:textId="77777777" w:rsidTr="00A44499">
        <w:tc>
          <w:tcPr>
            <w:tcW w:w="4508" w:type="dxa"/>
          </w:tcPr>
          <w:p w14:paraId="690FBD5F" w14:textId="77777777" w:rsidR="00A44499" w:rsidRDefault="00A44499" w:rsidP="00FE6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7C5">
              <w:rPr>
                <w:rFonts w:ascii="Arial" w:hAnsi="Arial" w:cs="Arial"/>
                <w:sz w:val="20"/>
                <w:szCs w:val="20"/>
              </w:rPr>
              <w:t>Tabungan</w:t>
            </w:r>
            <w:r w:rsidR="002A14BC">
              <w:rPr>
                <w:rFonts w:ascii="Arial" w:hAnsi="Arial" w:cs="Arial"/>
                <w:sz w:val="20"/>
                <w:szCs w:val="20"/>
              </w:rPr>
              <w:t xml:space="preserve"> Pasar Perdana</w:t>
            </w:r>
          </w:p>
        </w:tc>
        <w:tc>
          <w:tcPr>
            <w:tcW w:w="4508" w:type="dxa"/>
          </w:tcPr>
          <w:p w14:paraId="1BE0DBE7" w14:textId="77777777" w:rsidR="00A44499" w:rsidRDefault="00A44499" w:rsidP="00FE6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Mata Uang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Rupiah (IDR)</w:t>
            </w:r>
          </w:p>
        </w:tc>
      </w:tr>
    </w:tbl>
    <w:tbl>
      <w:tblPr>
        <w:tblStyle w:val="TableGrid"/>
        <w:tblpPr w:leftFromText="180" w:rightFromText="180" w:vertAnchor="text" w:tblpY="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499" w14:paraId="4ED0A59D" w14:textId="77777777" w:rsidTr="00A44499">
        <w:trPr>
          <w:trHeight w:val="593"/>
        </w:trPr>
        <w:tc>
          <w:tcPr>
            <w:tcW w:w="9016" w:type="dxa"/>
          </w:tcPr>
          <w:p w14:paraId="4B81D4E1" w14:textId="77777777" w:rsidR="00A44499" w:rsidRDefault="00A44499" w:rsidP="00A444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Deskripsi</w:t>
            </w:r>
            <w:proofErr w:type="spellEnd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57A3">
              <w:rPr>
                <w:rFonts w:ascii="Arial" w:hAnsi="Arial" w:cs="Arial"/>
                <w:b/>
                <w:bCs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Simpanan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Tabungan yang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menampung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dana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penabung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tata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penyetoran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penarikan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ditentukan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disanggupi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saat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14BC">
              <w:rPr>
                <w:rFonts w:ascii="Arial" w:hAnsi="Arial" w:cs="Arial"/>
                <w:sz w:val="20"/>
                <w:szCs w:val="20"/>
              </w:rPr>
              <w:t>pembukaan</w:t>
            </w:r>
            <w:proofErr w:type="spellEnd"/>
            <w:r w:rsidR="002A14BC">
              <w:rPr>
                <w:rFonts w:ascii="Arial" w:hAnsi="Arial" w:cs="Arial"/>
                <w:sz w:val="20"/>
                <w:szCs w:val="20"/>
              </w:rPr>
              <w:t xml:space="preserve"> Tabungan.</w:t>
            </w:r>
          </w:p>
        </w:tc>
      </w:tr>
      <w:tr w:rsidR="00A44499" w14:paraId="6250C6AD" w14:textId="77777777" w:rsidTr="00A44499">
        <w:trPr>
          <w:trHeight w:val="269"/>
        </w:trPr>
        <w:tc>
          <w:tcPr>
            <w:tcW w:w="9016" w:type="dxa"/>
          </w:tcPr>
          <w:p w14:paraId="356E44C3" w14:textId="77777777" w:rsidR="00A44499" w:rsidRPr="00A44499" w:rsidRDefault="00A44499" w:rsidP="00A44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499">
              <w:rPr>
                <w:rFonts w:ascii="Arial" w:hAnsi="Arial" w:cs="Arial"/>
                <w:b/>
                <w:bCs/>
                <w:sz w:val="20"/>
                <w:szCs w:val="20"/>
              </w:rPr>
              <w:t>FITUR UTAMA</w:t>
            </w:r>
          </w:p>
        </w:tc>
      </w:tr>
      <w:tr w:rsidR="00A44499" w14:paraId="6C4FAC17" w14:textId="77777777" w:rsidTr="007B57A3">
        <w:trPr>
          <w:trHeight w:val="1124"/>
        </w:trPr>
        <w:tc>
          <w:tcPr>
            <w:tcW w:w="9016" w:type="dxa"/>
          </w:tcPr>
          <w:p w14:paraId="4FE2D2E2" w14:textId="77777777" w:rsidR="002440CE" w:rsidRPr="002440CE" w:rsidRDefault="002440CE" w:rsidP="002A1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Setoran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Rp 50.000</w:t>
            </w:r>
          </w:p>
          <w:p w14:paraId="4BC1017E" w14:textId="77777777" w:rsidR="002440CE" w:rsidRPr="002440CE" w:rsidRDefault="002440CE" w:rsidP="002A1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0CE">
              <w:rPr>
                <w:rFonts w:ascii="Arial" w:hAnsi="Arial" w:cs="Arial"/>
                <w:sz w:val="20"/>
                <w:szCs w:val="20"/>
              </w:rPr>
              <w:t xml:space="preserve">Minimal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setoran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penarik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selanjutnya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Rp 10.000</w:t>
            </w:r>
          </w:p>
          <w:p w14:paraId="46630D00" w14:textId="77777777" w:rsidR="002A14BC" w:rsidRPr="002440CE" w:rsidRDefault="002A14BC" w:rsidP="002A14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40CE">
              <w:rPr>
                <w:rFonts w:ascii="Arial" w:hAnsi="Arial" w:cs="Arial"/>
                <w:sz w:val="20"/>
                <w:szCs w:val="20"/>
              </w:rPr>
              <w:t xml:space="preserve">Dapat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dijadikan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jaminan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kredit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F684C0" w14:textId="77777777" w:rsidR="00A44499" w:rsidRPr="002440CE" w:rsidRDefault="002440CE" w:rsidP="002440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Frekuensi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setoran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penarikan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24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40CE">
              <w:rPr>
                <w:rFonts w:ascii="Arial" w:hAnsi="Arial" w:cs="Arial"/>
                <w:sz w:val="20"/>
                <w:szCs w:val="20"/>
              </w:rPr>
              <w:t>dibatasi</w:t>
            </w:r>
            <w:proofErr w:type="spellEnd"/>
          </w:p>
        </w:tc>
      </w:tr>
      <w:tr w:rsidR="007B57A3" w14:paraId="0CE02BC2" w14:textId="77777777" w:rsidTr="007B57A3">
        <w:trPr>
          <w:trHeight w:val="289"/>
        </w:trPr>
        <w:tc>
          <w:tcPr>
            <w:tcW w:w="9016" w:type="dxa"/>
          </w:tcPr>
          <w:p w14:paraId="4789CF3D" w14:textId="77777777" w:rsidR="007B57A3" w:rsidRDefault="007B57A3" w:rsidP="007B57A3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MANFAAT</w:t>
            </w:r>
          </w:p>
        </w:tc>
      </w:tr>
      <w:tr w:rsidR="007B57A3" w14:paraId="27186BDF" w14:textId="77777777" w:rsidTr="007B57A3">
        <w:trPr>
          <w:trHeight w:val="289"/>
        </w:trPr>
        <w:tc>
          <w:tcPr>
            <w:tcW w:w="9016" w:type="dxa"/>
          </w:tcPr>
          <w:p w14:paraId="0EFB67BA" w14:textId="77777777" w:rsidR="002440CE" w:rsidRPr="00675378" w:rsidRDefault="002440CE" w:rsidP="00244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terjangkau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murah</w:t>
            </w:r>
            <w:proofErr w:type="spellEnd"/>
          </w:p>
          <w:p w14:paraId="5DC71187" w14:textId="77777777" w:rsidR="00675378" w:rsidRPr="002440CE" w:rsidRDefault="002440CE" w:rsidP="00675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Dana Tabungan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dijamin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oleh LPS</w:t>
            </w:r>
            <w:r w:rsidR="004766A2">
              <w:rPr>
                <w:rFonts w:ascii="Arial" w:hAnsi="Arial" w:cs="Arial"/>
                <w:sz w:val="20"/>
                <w:szCs w:val="20"/>
              </w:rPr>
              <w:t xml:space="preserve"> (Lembaga </w:t>
            </w:r>
            <w:proofErr w:type="spellStart"/>
            <w:r w:rsidR="004766A2">
              <w:rPr>
                <w:rFonts w:ascii="Arial" w:hAnsi="Arial" w:cs="Arial"/>
                <w:sz w:val="20"/>
                <w:szCs w:val="20"/>
              </w:rPr>
              <w:t>Penjamin</w:t>
            </w:r>
            <w:proofErr w:type="spellEnd"/>
            <w:r w:rsid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66A2">
              <w:rPr>
                <w:rFonts w:ascii="Arial" w:hAnsi="Arial" w:cs="Arial"/>
                <w:sz w:val="20"/>
                <w:szCs w:val="20"/>
              </w:rPr>
              <w:t>Simpanan</w:t>
            </w:r>
            <w:proofErr w:type="spellEnd"/>
            <w:r w:rsidR="004766A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F84268" w14:textId="77777777" w:rsidR="002440CE" w:rsidRPr="00C93950" w:rsidRDefault="00C93950" w:rsidP="00675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950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C93950">
              <w:rPr>
                <w:rFonts w:ascii="Arial" w:hAnsi="Arial" w:cs="Arial"/>
                <w:sz w:val="20"/>
                <w:szCs w:val="20"/>
              </w:rPr>
              <w:t xml:space="preserve"> Tabungan </w:t>
            </w:r>
            <w:proofErr w:type="spellStart"/>
            <w:r w:rsidRPr="00C93950">
              <w:rPr>
                <w:rFonts w:ascii="Arial" w:hAnsi="Arial" w:cs="Arial"/>
                <w:sz w:val="20"/>
                <w:szCs w:val="20"/>
              </w:rPr>
              <w:t>mendapatkan</w:t>
            </w:r>
            <w:proofErr w:type="spellEnd"/>
            <w:r w:rsidRPr="00C939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950">
              <w:rPr>
                <w:rFonts w:ascii="Arial" w:hAnsi="Arial" w:cs="Arial"/>
                <w:sz w:val="20"/>
                <w:szCs w:val="20"/>
              </w:rPr>
              <w:t>suku</w:t>
            </w:r>
            <w:proofErr w:type="spellEnd"/>
            <w:r w:rsidRPr="00C93950">
              <w:rPr>
                <w:rFonts w:ascii="Arial" w:hAnsi="Arial" w:cs="Arial"/>
                <w:sz w:val="20"/>
                <w:szCs w:val="20"/>
              </w:rPr>
              <w:t xml:space="preserve"> bunga </w:t>
            </w:r>
            <w:proofErr w:type="spellStart"/>
            <w:r w:rsidRPr="00C93950">
              <w:rPr>
                <w:rFonts w:ascii="Arial" w:hAnsi="Arial" w:cs="Arial"/>
                <w:sz w:val="20"/>
                <w:szCs w:val="20"/>
              </w:rPr>
              <w:t>menarik</w:t>
            </w:r>
            <w:proofErr w:type="spellEnd"/>
          </w:p>
        </w:tc>
      </w:tr>
      <w:tr w:rsidR="00675378" w14:paraId="62DB466F" w14:textId="77777777" w:rsidTr="007B57A3">
        <w:trPr>
          <w:trHeight w:val="289"/>
        </w:trPr>
        <w:tc>
          <w:tcPr>
            <w:tcW w:w="9016" w:type="dxa"/>
          </w:tcPr>
          <w:p w14:paraId="6EEF068D" w14:textId="77777777" w:rsidR="00675378" w:rsidRPr="00675378" w:rsidRDefault="00675378" w:rsidP="00675378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378">
              <w:rPr>
                <w:rFonts w:ascii="Arial" w:hAnsi="Arial" w:cs="Arial"/>
                <w:b/>
                <w:bCs/>
                <w:sz w:val="20"/>
                <w:szCs w:val="20"/>
              </w:rPr>
              <w:t>RISIKO</w:t>
            </w:r>
          </w:p>
        </w:tc>
      </w:tr>
      <w:tr w:rsidR="00675378" w14:paraId="0FDAC24A" w14:textId="77777777" w:rsidTr="007B57A3">
        <w:trPr>
          <w:trHeight w:val="289"/>
        </w:trPr>
        <w:tc>
          <w:tcPr>
            <w:tcW w:w="9016" w:type="dxa"/>
          </w:tcPr>
          <w:p w14:paraId="1129E9DE" w14:textId="77777777" w:rsidR="00C93950" w:rsidRPr="00675378" w:rsidRDefault="00C93950" w:rsidP="00C9395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Jika dana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melebihi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Rp 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Milliar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dan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bunga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diterima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melebihi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Tingkat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bunga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LPS (Lembaga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dana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simpanan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termasuk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penjaminan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LPS</w:t>
            </w:r>
          </w:p>
          <w:p w14:paraId="0FFD9F73" w14:textId="77777777" w:rsidR="005379C5" w:rsidRPr="00675378" w:rsidRDefault="00C93950" w:rsidP="00675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berstatus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dormant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pinalti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Rp 5.000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Rp 10.000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ditutup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otomatis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oleh system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penutupan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4D71" w14:paraId="30800383" w14:textId="77777777" w:rsidTr="007B57A3">
        <w:trPr>
          <w:trHeight w:val="289"/>
        </w:trPr>
        <w:tc>
          <w:tcPr>
            <w:tcW w:w="9016" w:type="dxa"/>
          </w:tcPr>
          <w:p w14:paraId="565C5D9C" w14:textId="77777777" w:rsidR="00094D71" w:rsidRPr="00094D71" w:rsidRDefault="00094D71" w:rsidP="00094D71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D71">
              <w:rPr>
                <w:rFonts w:ascii="Arial" w:hAnsi="Arial" w:cs="Arial"/>
                <w:b/>
                <w:bCs/>
                <w:sz w:val="20"/>
                <w:szCs w:val="20"/>
              </w:rPr>
              <w:t>BIAYA</w:t>
            </w:r>
          </w:p>
        </w:tc>
      </w:tr>
      <w:tr w:rsidR="00094D71" w14:paraId="3420E1A6" w14:textId="77777777" w:rsidTr="007B57A3">
        <w:trPr>
          <w:trHeight w:val="289"/>
        </w:trPr>
        <w:tc>
          <w:tcPr>
            <w:tcW w:w="9016" w:type="dxa"/>
          </w:tcPr>
          <w:p w14:paraId="3A138A43" w14:textId="77777777" w:rsidR="00094D71" w:rsidRPr="00094D71" w:rsidRDefault="00094D71" w:rsidP="00094D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bunga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perhitungan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penghasilan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(PPH)</w:t>
            </w:r>
          </w:p>
          <w:p w14:paraId="1AAC05BB" w14:textId="77777777" w:rsidR="00094D71" w:rsidRPr="00094D71" w:rsidRDefault="00094D71" w:rsidP="00094D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penutupan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Rp 10.000</w:t>
            </w:r>
          </w:p>
          <w:p w14:paraId="5464A528" w14:textId="77777777" w:rsidR="00094D71" w:rsidRPr="00094D71" w:rsidRDefault="00094D71" w:rsidP="00094D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tanggunan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79C5" w14:paraId="223CD00A" w14:textId="77777777" w:rsidTr="007B57A3">
        <w:trPr>
          <w:trHeight w:val="289"/>
        </w:trPr>
        <w:tc>
          <w:tcPr>
            <w:tcW w:w="9016" w:type="dxa"/>
          </w:tcPr>
          <w:p w14:paraId="6C7D6948" w14:textId="77777777" w:rsidR="005379C5" w:rsidRPr="005379C5" w:rsidRDefault="005379C5" w:rsidP="005379C5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9C5">
              <w:rPr>
                <w:rFonts w:ascii="Arial" w:hAnsi="Arial" w:cs="Arial"/>
                <w:b/>
                <w:bCs/>
                <w:sz w:val="20"/>
                <w:szCs w:val="20"/>
              </w:rPr>
              <w:t>PERSYARATAN</w:t>
            </w:r>
            <w:r w:rsidR="000A2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TATA CARA</w:t>
            </w:r>
          </w:p>
        </w:tc>
      </w:tr>
      <w:tr w:rsidR="005379C5" w14:paraId="09256DA5" w14:textId="77777777" w:rsidTr="007B57A3">
        <w:trPr>
          <w:trHeight w:val="289"/>
        </w:trPr>
        <w:tc>
          <w:tcPr>
            <w:tcW w:w="9016" w:type="dxa"/>
          </w:tcPr>
          <w:p w14:paraId="1205E43B" w14:textId="77777777" w:rsidR="000A29CE" w:rsidRDefault="00295622" w:rsidP="000A29C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5622">
              <w:rPr>
                <w:rFonts w:ascii="Arial" w:hAnsi="Arial" w:cs="Arial"/>
                <w:b/>
                <w:bCs/>
                <w:sz w:val="20"/>
                <w:szCs w:val="20"/>
              </w:rPr>
              <w:t>Syarat</w:t>
            </w:r>
            <w:proofErr w:type="spellEnd"/>
            <w:r w:rsidRPr="00295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2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="000A29CE">
              <w:rPr>
                <w:rFonts w:ascii="Arial" w:hAnsi="Arial" w:cs="Arial"/>
                <w:b/>
                <w:bCs/>
                <w:sz w:val="20"/>
                <w:szCs w:val="20"/>
              </w:rPr>
              <w:t>Syarat</w:t>
            </w:r>
            <w:proofErr w:type="spellEnd"/>
          </w:p>
          <w:p w14:paraId="071161AF" w14:textId="77777777" w:rsidR="000A29CE" w:rsidRPr="000A29CE" w:rsidRDefault="000A29CE" w:rsidP="000A2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Membawa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identitas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(KTP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WNI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Paspor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beserta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KITAS / KITAP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WNA</w:t>
            </w:r>
          </w:p>
          <w:p w14:paraId="40DD3D88" w14:textId="77777777" w:rsidR="000A29CE" w:rsidRPr="000A29CE" w:rsidRDefault="000A29CE" w:rsidP="000A29C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Mengisi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melengkapi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formulir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pembukaan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Tabungan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beserta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dibutuhkan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pihak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BANK.</w:t>
            </w:r>
          </w:p>
          <w:p w14:paraId="028E64C6" w14:textId="77777777" w:rsidR="000A29CE" w:rsidRPr="000A29CE" w:rsidRDefault="000A29CE" w:rsidP="000A29C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dan/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0A29CE">
              <w:rPr>
                <w:rFonts w:ascii="Arial" w:hAnsi="Arial" w:cs="Arial"/>
                <w:sz w:val="20"/>
                <w:szCs w:val="20"/>
              </w:rPr>
              <w:t>sebenarnya</w:t>
            </w:r>
            <w:proofErr w:type="spellEnd"/>
            <w:r w:rsidRPr="000A29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BCB5A8" w14:textId="77777777" w:rsidR="000A29CE" w:rsidRDefault="000A29CE" w:rsidP="001430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91AA94" w14:textId="77777777" w:rsidR="001430C5" w:rsidRDefault="001430C5" w:rsidP="001430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Nasabah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dapat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menyampaikan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pertanyaan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pengaduan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melalui</w:t>
            </w:r>
            <w:proofErr w:type="spellEnd"/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4C49B141" w14:textId="77777777" w:rsidR="00C87F8D" w:rsidRPr="00C87F8D" w:rsidRDefault="00C87F8D" w:rsidP="00143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7F8D">
              <w:rPr>
                <w:rFonts w:ascii="Arial" w:hAnsi="Arial" w:cs="Arial"/>
                <w:sz w:val="20"/>
                <w:szCs w:val="20"/>
                <w:u w:val="single"/>
              </w:rPr>
              <w:t>https;//bankbprpalembang.com/</w:t>
            </w:r>
            <w:proofErr w:type="spellStart"/>
            <w:r w:rsidRPr="00C87F8D">
              <w:rPr>
                <w:rFonts w:ascii="Arial" w:hAnsi="Arial" w:cs="Arial"/>
                <w:sz w:val="20"/>
                <w:szCs w:val="20"/>
                <w:u w:val="single"/>
              </w:rPr>
              <w:t>hubungi</w:t>
            </w:r>
            <w:proofErr w:type="spellEnd"/>
            <w:r w:rsidRPr="00C87F8D">
              <w:rPr>
                <w:rFonts w:ascii="Arial" w:hAnsi="Arial" w:cs="Arial"/>
                <w:sz w:val="20"/>
                <w:szCs w:val="20"/>
                <w:u w:val="single"/>
              </w:rPr>
              <w:t>-kami/</w:t>
            </w:r>
          </w:p>
          <w:p w14:paraId="4221DB03" w14:textId="77777777" w:rsidR="001430C5" w:rsidRDefault="001430C5" w:rsidP="00143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Telepon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0711-5564777</w:t>
            </w:r>
          </w:p>
          <w:p w14:paraId="27DBE393" w14:textId="77777777" w:rsidR="001430C5" w:rsidRDefault="001430C5" w:rsidP="00143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bprpalembang@bankbprpalembang.com</w:t>
            </w:r>
          </w:p>
          <w:p w14:paraId="39B63DF1" w14:textId="77777777" w:rsidR="001430C5" w:rsidRDefault="001430C5" w:rsidP="00143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32197" w14:textId="77777777" w:rsidR="001430C5" w:rsidRDefault="001430C5" w:rsidP="001430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C5">
              <w:rPr>
                <w:rFonts w:ascii="Arial" w:hAnsi="Arial" w:cs="Arial"/>
                <w:b/>
                <w:bCs/>
                <w:sz w:val="20"/>
                <w:szCs w:val="20"/>
              </w:rPr>
              <w:t>Social Media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EDC6BEF" w14:textId="77777777" w:rsidR="001430C5" w:rsidRPr="001430C5" w:rsidRDefault="001430C5" w:rsidP="00143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Instagram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@bankpalembang</w:t>
            </w:r>
          </w:p>
        </w:tc>
      </w:tr>
      <w:tr w:rsidR="001430C5" w14:paraId="27E7723F" w14:textId="77777777" w:rsidTr="007B57A3">
        <w:trPr>
          <w:trHeight w:val="289"/>
        </w:trPr>
        <w:tc>
          <w:tcPr>
            <w:tcW w:w="9016" w:type="dxa"/>
          </w:tcPr>
          <w:p w14:paraId="7BEC00CB" w14:textId="77777777" w:rsidR="001430C5" w:rsidRPr="00295622" w:rsidRDefault="001430C5" w:rsidP="001430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SIMULASI</w:t>
            </w:r>
          </w:p>
        </w:tc>
      </w:tr>
      <w:tr w:rsidR="001430C5" w14:paraId="1F210152" w14:textId="77777777" w:rsidTr="007B57A3">
        <w:trPr>
          <w:trHeight w:val="289"/>
        </w:trPr>
        <w:tc>
          <w:tcPr>
            <w:tcW w:w="9016" w:type="dxa"/>
          </w:tcPr>
          <w:p w14:paraId="75169028" w14:textId="77777777" w:rsidR="00D67B58" w:rsidRDefault="00616D99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1239C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proofErr w:type="gramStart"/>
            <w:r w:rsidR="0031239C">
              <w:rPr>
                <w:rFonts w:ascii="Arial" w:hAnsi="Arial" w:cs="Arial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sz w:val="20"/>
                <w:szCs w:val="20"/>
              </w:rPr>
              <w:t>Rp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100.000.000,-</w:t>
            </w:r>
            <w:proofErr w:type="gramEnd"/>
          </w:p>
          <w:p w14:paraId="7DA5545A" w14:textId="77777777" w:rsidR="00616D99" w:rsidRDefault="00616D99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Suku Bunga </w:t>
            </w:r>
            <w:r w:rsidR="0031239C">
              <w:rPr>
                <w:rFonts w:ascii="Arial" w:hAnsi="Arial" w:cs="Arial"/>
                <w:sz w:val="20"/>
                <w:szCs w:val="20"/>
              </w:rPr>
              <w:t xml:space="preserve">                   =  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123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AA1EA6B" w14:textId="77777777" w:rsidR="0031239C" w:rsidRDefault="0031239C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Bunga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= Rp 100.000.000 x 5% x 1 / 365 = Rp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13.698,-</w:t>
            </w:r>
            <w:proofErr w:type="gramEnd"/>
          </w:p>
          <w:p w14:paraId="40AAF019" w14:textId="77777777" w:rsidR="00616D99" w:rsidRDefault="00616D99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PPH</w:t>
            </w:r>
            <w:r w:rsidR="0031239C">
              <w:rPr>
                <w:rFonts w:ascii="Arial" w:hAnsi="Arial" w:cs="Arial"/>
                <w:sz w:val="20"/>
                <w:szCs w:val="20"/>
              </w:rPr>
              <w:t xml:space="preserve">                                =   20 %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3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C9D821" w14:textId="77777777" w:rsidR="0031239C" w:rsidRDefault="0031239C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Bunga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nett           = Rp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10.949,-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(nett)</w:t>
            </w:r>
          </w:p>
          <w:p w14:paraId="72755D26" w14:textId="77777777" w:rsidR="00616D99" w:rsidRPr="0031239C" w:rsidRDefault="0031239C" w:rsidP="00D67B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Bunga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disetorkan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</w:p>
          <w:p w14:paraId="1B83820E" w14:textId="77777777" w:rsidR="00D67B58" w:rsidRDefault="00D67B58" w:rsidP="00D67B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5A6A" w14:paraId="36CA0F97" w14:textId="77777777" w:rsidTr="007B57A3">
        <w:trPr>
          <w:trHeight w:val="289"/>
        </w:trPr>
        <w:tc>
          <w:tcPr>
            <w:tcW w:w="9016" w:type="dxa"/>
          </w:tcPr>
          <w:p w14:paraId="503C5D09" w14:textId="77777777" w:rsidR="00B65A6A" w:rsidRPr="00B65A6A" w:rsidRDefault="004766A2" w:rsidP="00B65A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INFORMASI TAMBAHAN</w:t>
            </w:r>
          </w:p>
        </w:tc>
      </w:tr>
      <w:tr w:rsidR="00B65A6A" w14:paraId="2D7C36F3" w14:textId="77777777" w:rsidTr="007B57A3">
        <w:trPr>
          <w:trHeight w:val="289"/>
        </w:trPr>
        <w:tc>
          <w:tcPr>
            <w:tcW w:w="9016" w:type="dxa"/>
          </w:tcPr>
          <w:p w14:paraId="00C4EE39" w14:textId="77777777" w:rsidR="0031239C" w:rsidRDefault="0031239C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diperuntukan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perorangan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Badan Usaha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/Perusahaan)</w:t>
            </w:r>
          </w:p>
          <w:p w14:paraId="1DF3B66F" w14:textId="77777777" w:rsidR="004766A2" w:rsidRDefault="004766A2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6A2">
              <w:rPr>
                <w:rFonts w:ascii="Arial" w:hAnsi="Arial" w:cs="Arial"/>
                <w:sz w:val="20"/>
                <w:szCs w:val="20"/>
              </w:rPr>
              <w:lastRenderedPageBreak/>
              <w:t xml:space="preserve">Bank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wajib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menginformasikan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segala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perubahan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manfaat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biaya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risiko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ketentuan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30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efektifnya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perubahan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AA7CDF" w14:textId="77777777" w:rsidR="004766A2" w:rsidRDefault="004766A2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wajib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data/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kondisi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sebenarnya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asli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oleh Bank),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sah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,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terbaru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perundang-undangan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52D00" w14:textId="77777777" w:rsidR="004766A2" w:rsidRDefault="004766A2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6A2"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menolak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persyaratan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1C1ABF" w14:textId="77777777" w:rsidR="004766A2" w:rsidRDefault="004766A2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membaca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Ringkasan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berhak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bertanya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Bank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hal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Ringkasan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66A2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4766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B0D5C" w14:textId="77777777" w:rsidR="00B65A6A" w:rsidRPr="00B65A6A" w:rsidRDefault="00B65A6A" w:rsidP="00B65A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Nasabah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membaca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teliti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Ringkasan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menyetujui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berhak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bertanya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BPR Palembang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hal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Ringkasan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Produk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65A6A">
              <w:rPr>
                <w:rFonts w:ascii="Arial" w:hAnsi="Arial" w:cs="Arial"/>
                <w:sz w:val="20"/>
                <w:szCs w:val="20"/>
              </w:rPr>
              <w:t>Layanan</w:t>
            </w:r>
            <w:proofErr w:type="spellEnd"/>
            <w:r w:rsidRPr="00B65A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399BE1" w14:textId="77777777" w:rsidR="00FE6D11" w:rsidRDefault="00FE6D11" w:rsidP="00FE6D11">
      <w:pPr>
        <w:jc w:val="both"/>
        <w:rPr>
          <w:rFonts w:ascii="Arial" w:hAnsi="Arial" w:cs="Arial"/>
          <w:sz w:val="20"/>
          <w:szCs w:val="20"/>
        </w:rPr>
      </w:pPr>
    </w:p>
    <w:p w14:paraId="701DF375" w14:textId="77777777" w:rsidR="00A44499" w:rsidRPr="00FE6D11" w:rsidRDefault="00A44499" w:rsidP="00FE6D11">
      <w:pPr>
        <w:jc w:val="both"/>
        <w:rPr>
          <w:rFonts w:ascii="Arial" w:hAnsi="Arial" w:cs="Arial"/>
          <w:sz w:val="20"/>
          <w:szCs w:val="20"/>
        </w:rPr>
      </w:pPr>
    </w:p>
    <w:sectPr w:rsidR="00A44499" w:rsidRPr="00FE6D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0FBA" w14:textId="77777777" w:rsidR="00B83128" w:rsidRDefault="00B83128" w:rsidP="00B65A6A">
      <w:pPr>
        <w:spacing w:after="0" w:line="240" w:lineRule="auto"/>
      </w:pPr>
      <w:r>
        <w:separator/>
      </w:r>
    </w:p>
  </w:endnote>
  <w:endnote w:type="continuationSeparator" w:id="0">
    <w:p w14:paraId="5F46EC63" w14:textId="77777777" w:rsidR="00B83128" w:rsidRDefault="00B83128" w:rsidP="00B6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CBD" w14:textId="77777777" w:rsidR="00B65A6A" w:rsidRDefault="00B65A6A">
    <w:pPr>
      <w:pStyle w:val="Footer"/>
    </w:pPr>
    <w:r>
      <w:t xml:space="preserve">BPR PALEMBANG </w:t>
    </w:r>
    <w:proofErr w:type="spellStart"/>
    <w:r>
      <w:t>berizin</w:t>
    </w:r>
    <w:proofErr w:type="spellEnd"/>
    <w:r>
      <w:t xml:space="preserve"> dan </w:t>
    </w:r>
    <w:proofErr w:type="spellStart"/>
    <w:r>
      <w:t>diawasi</w:t>
    </w:r>
    <w:proofErr w:type="spellEnd"/>
    <w:r>
      <w:t xml:space="preserve"> oleh </w:t>
    </w:r>
    <w:proofErr w:type="spellStart"/>
    <w:r>
      <w:t>Otoritas</w:t>
    </w:r>
    <w:proofErr w:type="spellEnd"/>
    <w:r>
      <w:t xml:space="preserve"> Jasa </w:t>
    </w:r>
    <w:proofErr w:type="spellStart"/>
    <w:r>
      <w:t>Keuangan</w:t>
    </w:r>
    <w:proofErr w:type="spellEnd"/>
  </w:p>
  <w:p w14:paraId="5BE7488B" w14:textId="77777777" w:rsidR="00B65A6A" w:rsidRDefault="00B65A6A">
    <w:pPr>
      <w:pStyle w:val="Footer"/>
    </w:pPr>
    <w:r>
      <w:t xml:space="preserve">BPR PALEMBANG </w:t>
    </w:r>
    <w:proofErr w:type="spellStart"/>
    <w:r>
      <w:t>merupakan</w:t>
    </w:r>
    <w:proofErr w:type="spellEnd"/>
    <w:r>
      <w:t xml:space="preserve"> </w:t>
    </w:r>
    <w:proofErr w:type="spellStart"/>
    <w:r>
      <w:t>peserta</w:t>
    </w:r>
    <w:proofErr w:type="spellEnd"/>
    <w:r>
      <w:t xml:space="preserve"> </w:t>
    </w:r>
    <w:proofErr w:type="spellStart"/>
    <w:r>
      <w:t>penjaminan</w:t>
    </w:r>
    <w:proofErr w:type="spellEnd"/>
    <w:r>
      <w:t xml:space="preserve"> LPS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8972" w14:textId="77777777" w:rsidR="00B83128" w:rsidRDefault="00B83128" w:rsidP="00B65A6A">
      <w:pPr>
        <w:spacing w:after="0" w:line="240" w:lineRule="auto"/>
      </w:pPr>
      <w:r>
        <w:separator/>
      </w:r>
    </w:p>
  </w:footnote>
  <w:footnote w:type="continuationSeparator" w:id="0">
    <w:p w14:paraId="6E651024" w14:textId="77777777" w:rsidR="00B83128" w:rsidRDefault="00B83128" w:rsidP="00B6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CCFF" w14:textId="77777777" w:rsidR="00B65A6A" w:rsidRDefault="00B65A6A">
    <w:pPr>
      <w:pStyle w:val="Header"/>
    </w:pPr>
    <w:r>
      <w:rPr>
        <w:noProof/>
      </w:rPr>
      <w:drawing>
        <wp:inline distT="0" distB="0" distL="0" distR="0" wp14:anchorId="0A8E1455" wp14:editId="07AEC30B">
          <wp:extent cx="2906423" cy="804370"/>
          <wp:effectExtent l="0" t="0" r="0" b="0"/>
          <wp:docPr id="932392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782" cy="81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66F0"/>
    <w:multiLevelType w:val="hybridMultilevel"/>
    <w:tmpl w:val="4638201E"/>
    <w:lvl w:ilvl="0" w:tplc="71762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F29"/>
    <w:multiLevelType w:val="hybridMultilevel"/>
    <w:tmpl w:val="9AEE1C8E"/>
    <w:lvl w:ilvl="0" w:tplc="B344A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1E4"/>
    <w:multiLevelType w:val="hybridMultilevel"/>
    <w:tmpl w:val="0B88C84C"/>
    <w:lvl w:ilvl="0" w:tplc="A8D6C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0F85"/>
    <w:multiLevelType w:val="hybridMultilevel"/>
    <w:tmpl w:val="191A5B08"/>
    <w:lvl w:ilvl="0" w:tplc="4784E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9526E"/>
    <w:multiLevelType w:val="hybridMultilevel"/>
    <w:tmpl w:val="C7963D5E"/>
    <w:lvl w:ilvl="0" w:tplc="2A8A44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6E3049"/>
    <w:multiLevelType w:val="hybridMultilevel"/>
    <w:tmpl w:val="FAF083E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241D8"/>
    <w:multiLevelType w:val="hybridMultilevel"/>
    <w:tmpl w:val="F834ABF6"/>
    <w:lvl w:ilvl="0" w:tplc="6A5CA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E0BE7"/>
    <w:multiLevelType w:val="hybridMultilevel"/>
    <w:tmpl w:val="260ABE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0EF2"/>
    <w:multiLevelType w:val="hybridMultilevel"/>
    <w:tmpl w:val="B0148C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6EF5"/>
    <w:multiLevelType w:val="hybridMultilevel"/>
    <w:tmpl w:val="06BCC0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05CC"/>
    <w:multiLevelType w:val="hybridMultilevel"/>
    <w:tmpl w:val="3B6890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E1700"/>
    <w:multiLevelType w:val="hybridMultilevel"/>
    <w:tmpl w:val="067C4730"/>
    <w:lvl w:ilvl="0" w:tplc="2A8A44D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200053">
    <w:abstractNumId w:val="9"/>
  </w:num>
  <w:num w:numId="2" w16cid:durableId="2054847495">
    <w:abstractNumId w:val="7"/>
  </w:num>
  <w:num w:numId="3" w16cid:durableId="2102984803">
    <w:abstractNumId w:val="4"/>
  </w:num>
  <w:num w:numId="4" w16cid:durableId="1832716644">
    <w:abstractNumId w:val="11"/>
  </w:num>
  <w:num w:numId="5" w16cid:durableId="1710304593">
    <w:abstractNumId w:val="5"/>
  </w:num>
  <w:num w:numId="6" w16cid:durableId="975142876">
    <w:abstractNumId w:val="10"/>
  </w:num>
  <w:num w:numId="7" w16cid:durableId="1654873990">
    <w:abstractNumId w:val="2"/>
  </w:num>
  <w:num w:numId="8" w16cid:durableId="898200600">
    <w:abstractNumId w:val="0"/>
  </w:num>
  <w:num w:numId="9" w16cid:durableId="1524589358">
    <w:abstractNumId w:val="1"/>
  </w:num>
  <w:num w:numId="10" w16cid:durableId="166601042">
    <w:abstractNumId w:val="6"/>
  </w:num>
  <w:num w:numId="11" w16cid:durableId="50662627">
    <w:abstractNumId w:val="3"/>
  </w:num>
  <w:num w:numId="12" w16cid:durableId="1770538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11"/>
    <w:rsid w:val="00094D71"/>
    <w:rsid w:val="000A29CE"/>
    <w:rsid w:val="001430C5"/>
    <w:rsid w:val="00241278"/>
    <w:rsid w:val="002440CE"/>
    <w:rsid w:val="00295622"/>
    <w:rsid w:val="002A14BC"/>
    <w:rsid w:val="0031239C"/>
    <w:rsid w:val="003603B3"/>
    <w:rsid w:val="003C550A"/>
    <w:rsid w:val="004766A2"/>
    <w:rsid w:val="004E2D93"/>
    <w:rsid w:val="004F19B2"/>
    <w:rsid w:val="005244C9"/>
    <w:rsid w:val="00537571"/>
    <w:rsid w:val="005379C5"/>
    <w:rsid w:val="00576D98"/>
    <w:rsid w:val="00616D99"/>
    <w:rsid w:val="00622077"/>
    <w:rsid w:val="00675378"/>
    <w:rsid w:val="006C62F6"/>
    <w:rsid w:val="00710D3C"/>
    <w:rsid w:val="007B2FFF"/>
    <w:rsid w:val="007B57A3"/>
    <w:rsid w:val="007E578D"/>
    <w:rsid w:val="00836D00"/>
    <w:rsid w:val="008B3F88"/>
    <w:rsid w:val="00A44499"/>
    <w:rsid w:val="00AC77C5"/>
    <w:rsid w:val="00AE7AE2"/>
    <w:rsid w:val="00B65A6A"/>
    <w:rsid w:val="00B83128"/>
    <w:rsid w:val="00C87F8D"/>
    <w:rsid w:val="00C93950"/>
    <w:rsid w:val="00D67B58"/>
    <w:rsid w:val="00E25D4C"/>
    <w:rsid w:val="00E3710D"/>
    <w:rsid w:val="00ED1EC7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69E5"/>
  <w15:chartTrackingRefBased/>
  <w15:docId w15:val="{08B35A7D-DC5F-44E8-A824-CD7CA456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D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D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D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D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D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D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D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0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6A"/>
  </w:style>
  <w:style w:type="paragraph" w:styleId="Footer">
    <w:name w:val="footer"/>
    <w:basedOn w:val="Normal"/>
    <w:link w:val="FooterChar"/>
    <w:uiPriority w:val="99"/>
    <w:unhideWhenUsed/>
    <w:rsid w:val="00B6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 support</dc:creator>
  <cp:keywords/>
  <dc:description/>
  <cp:lastModifiedBy>Legal</cp:lastModifiedBy>
  <cp:revision>2</cp:revision>
  <cp:lastPrinted>2025-05-16T10:20:00Z</cp:lastPrinted>
  <dcterms:created xsi:type="dcterms:W3CDTF">2025-07-31T09:00:00Z</dcterms:created>
  <dcterms:modified xsi:type="dcterms:W3CDTF">2025-07-31T09:00:00Z</dcterms:modified>
</cp:coreProperties>
</file>